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>Norms for</w:t>
      </w:r>
      <w:r w:rsidR="008777B6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Student</w:t>
      </w:r>
      <w:r w:rsidR="008777B6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Interaction in</w:t>
      </w:r>
      <w:r w:rsidR="008777B6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Study Teams: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To maximize their learning opportunities, students are expected to actively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participate with their study teams. To create this norm in the class, it is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important to begin teaching students your expectations for effective teamwork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from the beginning. Activities and lesson structures suggested in the teacher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notes, resource pages, and descriptions of team roles begin to communicate this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to students in Chapter 1 (see description below). While these guidelines were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not placed in the student text to allow flexibility for each teacher to determine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his or her own class rules, the following guidelines for teams are recommended: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</w:rPr>
        <w:t xml:space="preserve">• </w:t>
      </w:r>
      <w:r>
        <w:rPr>
          <w:rFonts w:ascii="TimesNewRomanPS-BoldMT" w:hAnsi="TimesNewRomanPS-BoldMT" w:cs="TimesNewRomanPS-BoldMT"/>
          <w:b/>
          <w:bCs/>
        </w:rPr>
        <w:t>No talking outside your team.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Focusing students on working with their team of</w:t>
      </w:r>
      <w:r w:rsidR="008777B6">
        <w:rPr>
          <w:rFonts w:ascii="TimesNewRomanPS-BoldMT" w:hAnsi="TimesNewRomanPS-BoldMT" w:cs="TimesNewRomanPS-BoldMT"/>
        </w:rPr>
        <w:t xml:space="preserve"> three or</w:t>
      </w:r>
      <w:r>
        <w:rPr>
          <w:rFonts w:ascii="TimesNewRomanPS-BoldMT" w:hAnsi="TimesNewRomanPS-BoldMT" w:cs="TimesNewRomanPS-BoldMT"/>
        </w:rPr>
        <w:t xml:space="preserve"> four helps them to see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each other as resources and to find their own way of solving a problem.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It helps to prevent any student from being excluded from conversation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by making students look to the others in their team rather than friends in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other parts of the classroom. It also minimizes cross-classroom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conversations that disrupt the learning environment. Responsibility for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monitoring this can be assigned to the task manager, helping to free the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teacher to address questions from teams.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</w:rPr>
        <w:t xml:space="preserve">• </w:t>
      </w:r>
      <w:r>
        <w:rPr>
          <w:rFonts w:ascii="TimesNewRomanPS-BoldMT" w:hAnsi="TimesNewRomanPS-BoldMT" w:cs="TimesNewRomanPS-BoldMT"/>
          <w:b/>
          <w:bCs/>
        </w:rPr>
        <w:t>Discuss questions with your team before calling the teacher over.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This can be reinforced by how the teacher responds to questions from a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team. This norm should not imply that the teacher does not answer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questions, but instead that the other members of the team are a student’s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first resource. While this can be as difficult for the teacher as for the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student, you must develop the habit of asking, “</w:t>
      </w:r>
      <w:r>
        <w:rPr>
          <w:rFonts w:ascii="TimesNewRomanPS-BoldMT" w:hAnsi="TimesNewRomanPS-BoldMT" w:cs="TimesNewRomanPS-BoldMT"/>
          <w:i/>
          <w:iCs/>
        </w:rPr>
        <w:t>Is this a team question?</w:t>
      </w:r>
      <w:r>
        <w:rPr>
          <w:rFonts w:ascii="TimesNewRomanPS-BoldMT" w:hAnsi="TimesNewRomanPS-BoldMT" w:cs="TimesNewRomanPS-BoldMT"/>
        </w:rPr>
        <w:t>”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or “</w:t>
      </w:r>
      <w:r>
        <w:rPr>
          <w:rFonts w:ascii="TimesNewRomanPS-BoldMT" w:hAnsi="TimesNewRomanPS-BoldMT" w:cs="TimesNewRomanPS-BoldMT"/>
          <w:i/>
          <w:iCs/>
        </w:rPr>
        <w:t>Does everyone in the study team want the question answered?</w:t>
      </w:r>
      <w:r>
        <w:rPr>
          <w:rFonts w:ascii="TimesNewRomanPS-BoldMT" w:hAnsi="TimesNewRomanPS-BoldMT" w:cs="TimesNewRomanPS-BoldMT"/>
        </w:rPr>
        <w:t>” This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norm will help students work on answering their own questions.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</w:rPr>
        <w:t xml:space="preserve">• </w:t>
      </w:r>
      <w:r>
        <w:rPr>
          <w:rFonts w:ascii="TimesNewRomanPS-BoldMT" w:hAnsi="TimesNewRomanPS-BoldMT" w:cs="TimesNewRomanPS-BoldMT"/>
          <w:b/>
          <w:bCs/>
        </w:rPr>
        <w:t>Within your team, keep your conversation on math.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This norm reminds students that their conversations in study teams have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an intellectual, rather than social, purpose.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• You must try to help anyone in your study team who asks.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While this is one of the more difficult ideas for competitive students to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accept, it is critical to effective team functioning. Over time, students will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begin to see that explaining something to someone else is one of the best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ways to assure that they understand the idea themselves. Explaining is also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a means of deepening understanding and increasing long-term retention.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</w:rPr>
        <w:t xml:space="preserve">• </w:t>
      </w:r>
      <w:r>
        <w:rPr>
          <w:rFonts w:ascii="TimesNewRomanPS-BoldMT" w:hAnsi="TimesNewRomanPS-BoldMT" w:cs="TimesNewRomanPS-BoldMT"/>
          <w:b/>
          <w:bCs/>
        </w:rPr>
        <w:t>Helping your teammate does not mean giving answers. Help by</w:t>
      </w:r>
      <w:r w:rsidR="008777B6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giving hints and asking good questions.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This helps to set a tone of community support and challenges students to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help a teammate understand and discover for themselves rather than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simply having an answer to write down.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t>CPM Educational Program ©2009 6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</w:rPr>
      </w:pP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</w:rPr>
        <w:t xml:space="preserve">• </w:t>
      </w:r>
      <w:r>
        <w:rPr>
          <w:rFonts w:ascii="TimesNewRomanPS-BoldMT" w:hAnsi="TimesNewRomanPS-BoldMT" w:cs="TimesNewRomanPS-BoldMT"/>
          <w:b/>
          <w:bCs/>
        </w:rPr>
        <w:t>Explain and justify your ideas; give statements and reasons.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This norm links directly to one of the learning themes of the course and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 xml:space="preserve">underscores the </w:t>
      </w:r>
      <w:r>
        <w:rPr>
          <w:rFonts w:ascii="TimesNewRomanPS-BoldMT" w:hAnsi="TimesNewRomanPS-BoldMT" w:cs="TimesNewRomanPS-BoldMT"/>
        </w:rPr>
        <w:lastRenderedPageBreak/>
        <w:t>expectation that there are multiple valid ways of solving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different problems.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</w:rPr>
        <w:t xml:space="preserve">• </w:t>
      </w:r>
      <w:r>
        <w:rPr>
          <w:rFonts w:ascii="TimesNewRomanPS-BoldMT" w:hAnsi="TimesNewRomanPS-BoldMT" w:cs="TimesNewRomanPS-BoldMT"/>
          <w:b/>
          <w:bCs/>
        </w:rPr>
        <w:t>No one alone is as smart as all of us together. Do not leave anyone</w:t>
      </w:r>
      <w:r w:rsidR="008777B6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behind or let anyone work ahead. Your team is not done until</w:t>
      </w:r>
      <w:r w:rsidR="008777B6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everyone is done.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Again, this norm emphasizes that the process is just as important as the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answer and that understanding others’ approaches improves an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individual’s understanding.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</w:rPr>
        <w:t xml:space="preserve">• </w:t>
      </w:r>
      <w:r>
        <w:rPr>
          <w:rFonts w:ascii="TimesNewRomanPS-BoldMT" w:hAnsi="TimesNewRomanPS-BoldMT" w:cs="TimesNewRomanPS-BoldMT"/>
          <w:b/>
          <w:bCs/>
        </w:rPr>
        <w:t>Clear off tables (or desks) before getting to work so you can see</w:t>
      </w:r>
      <w:r w:rsidR="008777B6">
        <w:rPr>
          <w:rFonts w:ascii="TimesNewRomanPS-BoldMT" w:hAnsi="TimesNewRomanPS-BoldMT" w:cs="TimesNewRomanPS-BoldMT"/>
          <w:b/>
          <w:bCs/>
        </w:rPr>
        <w:t xml:space="preserve"> everyone’s </w:t>
      </w:r>
      <w:r>
        <w:rPr>
          <w:rFonts w:ascii="TimesNewRomanPS-BoldMT" w:hAnsi="TimesNewRomanPS-BoldMT" w:cs="TimesNewRomanPS-BoldMT"/>
          <w:b/>
          <w:bCs/>
        </w:rPr>
        <w:t>paper.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This emphasizes the importance of creating an uncluttered space to share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ideas and converse openly about the mathematics.</w:t>
      </w: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:rsidR="00653711" w:rsidRDefault="00653711" w:rsidP="0065371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</w:rPr>
        <w:t xml:space="preserve">• </w:t>
      </w:r>
      <w:r>
        <w:rPr>
          <w:rFonts w:ascii="TimesNewRomanPS-BoldMT" w:hAnsi="TimesNewRomanPS-BoldMT" w:cs="TimesNewRomanPS-BoldMT"/>
          <w:b/>
          <w:bCs/>
        </w:rPr>
        <w:t>You must use study team voices.</w:t>
      </w:r>
    </w:p>
    <w:p w:rsidR="00D12A42" w:rsidRPr="008777B6" w:rsidRDefault="00653711" w:rsidP="008777B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The volume of students’ voices should remain within the hearing range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of their study team only. You will need to develop signals to indicate the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end of team discussion, such as turning the lights out, clapping, ringing a</w:t>
      </w:r>
      <w:r w:rsidR="008777B6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</w:rPr>
        <w:t>bell, or raising a hand.</w:t>
      </w:r>
    </w:p>
    <w:sectPr w:rsidR="00D12A42" w:rsidRPr="008777B6" w:rsidSect="008777B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11"/>
    <w:rsid w:val="00653711"/>
    <w:rsid w:val="00737700"/>
    <w:rsid w:val="008777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Urbana School District #116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Poetzel</dc:creator>
  <cp:lastModifiedBy>Dave Dutton</cp:lastModifiedBy>
  <cp:revision>2</cp:revision>
  <dcterms:created xsi:type="dcterms:W3CDTF">2012-08-21T21:13:00Z</dcterms:created>
  <dcterms:modified xsi:type="dcterms:W3CDTF">2012-08-21T21:13:00Z</dcterms:modified>
</cp:coreProperties>
</file>